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110"/>
        <w:tblW w:w="918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6"/>
      </w:tblGrid>
      <w:tr w:rsidR="00F33837" w:rsidTr="00FA134F">
        <w:trPr>
          <w:trHeight w:val="224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37" w:rsidRPr="00FA134F" w:rsidRDefault="006666D5" w:rsidP="002C0009">
            <w:pPr>
              <w:spacing w:after="0" w:line="259" w:lineRule="auto"/>
              <w:ind w:left="7" w:firstLine="0"/>
              <w:jc w:val="center"/>
              <w:rPr>
                <w:sz w:val="48"/>
                <w:szCs w:val="48"/>
              </w:rPr>
            </w:pPr>
            <w:r w:rsidRPr="00FA134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WSCCR Research</w:t>
            </w:r>
            <w:r w:rsidR="00020CD8" w:rsidRPr="00FA134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6666D5" w:rsidRPr="00FA134F" w:rsidRDefault="0062226F" w:rsidP="002C0009">
            <w:pPr>
              <w:spacing w:after="0" w:line="259" w:lineRule="auto"/>
              <w:ind w:left="10" w:firstLine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Project Prioritization</w:t>
            </w:r>
            <w:r w:rsidR="00020CD8" w:rsidRPr="00FA134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Policy</w:t>
            </w:r>
          </w:p>
          <w:p w:rsidR="00F33837" w:rsidRDefault="00020CD8" w:rsidP="002C0009">
            <w:pPr>
              <w:spacing w:after="0" w:line="259" w:lineRule="auto"/>
              <w:ind w:left="10" w:firstLine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:rsidR="00FA134F" w:rsidRDefault="00FA134F" w:rsidP="002C0009">
            <w:pPr>
              <w:spacing w:after="0" w:line="259" w:lineRule="auto"/>
              <w:ind w:left="10" w:firstLine="0"/>
              <w:jc w:val="center"/>
            </w:pPr>
          </w:p>
          <w:p w:rsidR="00F33837" w:rsidRPr="0095739E" w:rsidRDefault="00020CD8" w:rsidP="002C0009">
            <w:pPr>
              <w:spacing w:after="0" w:line="259" w:lineRule="auto"/>
              <w:ind w:left="0" w:firstLine="0"/>
              <w:rPr>
                <w:u w:val="single"/>
              </w:rPr>
            </w:pPr>
            <w:r>
              <w:t>Adopted by t</w:t>
            </w:r>
            <w:r w:rsidR="006666D5">
              <w:t>he WSCCR Strat</w:t>
            </w:r>
            <w:r w:rsidR="005A1DE9">
              <w:t>egic Oversight Committee on</w:t>
            </w:r>
            <w:r w:rsidR="005A1DE9" w:rsidRPr="009D341D">
              <w:t xml:space="preserve"> April 2, 2018.</w:t>
            </w:r>
            <w:r w:rsidR="005A1DE9" w:rsidRPr="0095739E">
              <w:rPr>
                <w:u w:val="single"/>
              </w:rPr>
              <w:t xml:space="preserve"> </w:t>
            </w:r>
            <w:r w:rsidRPr="0095739E">
              <w:rPr>
                <w:u w:val="single"/>
              </w:rPr>
              <w:t xml:space="preserve"> </w:t>
            </w:r>
          </w:p>
          <w:p w:rsidR="00F33837" w:rsidRDefault="006666D5" w:rsidP="002C0009">
            <w:pPr>
              <w:tabs>
                <w:tab w:val="center" w:pos="6239"/>
              </w:tabs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33837" w:rsidRDefault="00020CD8">
      <w:pPr>
        <w:spacing w:after="120" w:line="259" w:lineRule="auto"/>
        <w:ind w:left="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A134F" w:rsidRDefault="00FA134F">
      <w:pPr>
        <w:pStyle w:val="Heading1"/>
        <w:ind w:left="-4"/>
      </w:pPr>
      <w:bookmarkStart w:id="0" w:name="_Toc10998"/>
    </w:p>
    <w:p w:rsidR="00FA134F" w:rsidRDefault="00FA134F">
      <w:pPr>
        <w:pStyle w:val="Heading1"/>
        <w:ind w:left="-4"/>
      </w:pPr>
    </w:p>
    <w:p w:rsidR="00FA134F" w:rsidRDefault="00FA134F">
      <w:pPr>
        <w:pStyle w:val="Heading1"/>
        <w:ind w:left="-4"/>
      </w:pPr>
    </w:p>
    <w:p w:rsidR="00FA134F" w:rsidRDefault="00FA134F">
      <w:pPr>
        <w:pStyle w:val="Heading1"/>
        <w:ind w:left="-4"/>
      </w:pPr>
    </w:p>
    <w:p w:rsidR="00F33837" w:rsidRDefault="00020CD8">
      <w:pPr>
        <w:pStyle w:val="Heading1"/>
        <w:ind w:left="-4"/>
      </w:pPr>
      <w:r>
        <w:t xml:space="preserve">Purpose </w:t>
      </w:r>
      <w:bookmarkEnd w:id="0"/>
    </w:p>
    <w:p w:rsidR="00F33837" w:rsidRDefault="00020CD8">
      <w:r>
        <w:t xml:space="preserve">The purpose of this policy is to </w:t>
      </w:r>
      <w:r w:rsidR="00B0597E">
        <w:t xml:space="preserve">establish criteria to </w:t>
      </w:r>
      <w:r>
        <w:t xml:space="preserve">ensure </w:t>
      </w:r>
      <w:r w:rsidR="0062226F">
        <w:t xml:space="preserve">Washington State Center for Court </w:t>
      </w:r>
      <w:r w:rsidR="00ED707D">
        <w:t>R</w:t>
      </w:r>
      <w:r w:rsidR="006666D5">
        <w:t xml:space="preserve">esearch </w:t>
      </w:r>
      <w:r w:rsidR="00ED707D">
        <w:t>(WSCCR)</w:t>
      </w:r>
      <w:r w:rsidR="00920D48">
        <w:t xml:space="preserve"> </w:t>
      </w:r>
      <w:r w:rsidR="006666D5">
        <w:t xml:space="preserve">projects </w:t>
      </w:r>
      <w:r>
        <w:t xml:space="preserve">are aligned with </w:t>
      </w:r>
      <w:r w:rsidR="006666D5">
        <w:t xml:space="preserve">the </w:t>
      </w:r>
      <w:r w:rsidR="0062226F">
        <w:t>policies,</w:t>
      </w:r>
      <w:r w:rsidR="006666D5">
        <w:t xml:space="preserve"> goals</w:t>
      </w:r>
      <w:r w:rsidR="00C20600">
        <w:t>,</w:t>
      </w:r>
      <w:r w:rsidR="006666D5">
        <w:t xml:space="preserve"> and</w:t>
      </w:r>
      <w:r>
        <w:t xml:space="preserve"> objectives</w:t>
      </w:r>
      <w:r w:rsidR="006666D5">
        <w:t xml:space="preserve"> of </w:t>
      </w:r>
      <w:r w:rsidR="00E11593">
        <w:t xml:space="preserve">the </w:t>
      </w:r>
      <w:r w:rsidR="0062226F">
        <w:t>judicial branch</w:t>
      </w:r>
      <w:r w:rsidR="00C20600">
        <w:t xml:space="preserve"> and to provide clear guidance</w:t>
      </w:r>
      <w:r>
        <w:t xml:space="preserve">. </w:t>
      </w:r>
    </w:p>
    <w:p w:rsidR="00F33837" w:rsidRDefault="00020CD8">
      <w:pPr>
        <w:spacing w:after="0" w:line="259" w:lineRule="auto"/>
        <w:ind w:left="1" w:firstLine="0"/>
      </w:pPr>
      <w:r>
        <w:t xml:space="preserve"> </w:t>
      </w:r>
    </w:p>
    <w:p w:rsidR="00F33837" w:rsidRDefault="00020CD8">
      <w:r>
        <w:t xml:space="preserve">The </w:t>
      </w:r>
      <w:r w:rsidR="00E11593">
        <w:t>Washington State C</w:t>
      </w:r>
      <w:r w:rsidR="00ED707D">
        <w:t xml:space="preserve">enter for Court Research </w:t>
      </w:r>
      <w:r w:rsidR="006666D5">
        <w:t>Strategic Oversight</w:t>
      </w:r>
      <w:r>
        <w:t xml:space="preserve"> Committee (</w:t>
      </w:r>
      <w:r w:rsidR="006666D5">
        <w:t>WSOC</w:t>
      </w:r>
      <w:r>
        <w:t>) needs a consistent an</w:t>
      </w:r>
      <w:r w:rsidR="006666D5">
        <w:t xml:space="preserve">d structured process for court associations and </w:t>
      </w:r>
      <w:r w:rsidR="0062226F">
        <w:t xml:space="preserve">judicial branch </w:t>
      </w:r>
      <w:r w:rsidR="006666D5">
        <w:t>entities to</w:t>
      </w:r>
      <w:r>
        <w:t xml:space="preserve"> </w:t>
      </w:r>
      <w:r w:rsidR="0062226F">
        <w:t>submit</w:t>
      </w:r>
      <w:r>
        <w:t xml:space="preserve"> </w:t>
      </w:r>
      <w:r w:rsidR="006666D5">
        <w:t>research</w:t>
      </w:r>
      <w:r>
        <w:t xml:space="preserve"> requests </w:t>
      </w:r>
      <w:r w:rsidR="0062226F">
        <w:t>related to</w:t>
      </w:r>
      <w:r>
        <w:t xml:space="preserve"> projects,</w:t>
      </w:r>
      <w:r w:rsidR="0062226F">
        <w:t xml:space="preserve"> court operations,</w:t>
      </w:r>
      <w:r>
        <w:t xml:space="preserve"> </w:t>
      </w:r>
      <w:r w:rsidR="006666D5">
        <w:t xml:space="preserve">grant </w:t>
      </w:r>
      <w:r w:rsidR="00161BE4">
        <w:t>applications, programs</w:t>
      </w:r>
      <w:r w:rsidR="00C20600">
        <w:t>,</w:t>
      </w:r>
      <w:r w:rsidR="00161BE4">
        <w:t xml:space="preserve"> and initiatives.</w:t>
      </w:r>
    </w:p>
    <w:p w:rsidR="00F33837" w:rsidRDefault="00020CD8">
      <w:pPr>
        <w:spacing w:after="0" w:line="259" w:lineRule="auto"/>
        <w:ind w:left="1" w:firstLine="0"/>
      </w:pPr>
      <w:r>
        <w:t xml:space="preserve"> </w:t>
      </w:r>
    </w:p>
    <w:p w:rsidR="00F33837" w:rsidRDefault="006666D5">
      <w:pPr>
        <w:spacing w:after="154"/>
      </w:pPr>
      <w:r>
        <w:t xml:space="preserve">Research </w:t>
      </w:r>
      <w:r w:rsidR="0062226F">
        <w:t>project prioritization</w:t>
      </w:r>
      <w:r w:rsidR="00020CD8">
        <w:t xml:space="preserve"> </w:t>
      </w:r>
      <w:r w:rsidR="00C20600">
        <w:t xml:space="preserve">policy </w:t>
      </w:r>
      <w:r w:rsidR="00020CD8">
        <w:t xml:space="preserve">provides the framework by which </w:t>
      </w:r>
      <w:r>
        <w:t xml:space="preserve">project </w:t>
      </w:r>
      <w:r w:rsidR="00020CD8">
        <w:t xml:space="preserve">decisions are </w:t>
      </w:r>
      <w:r>
        <w:t>made, communicated, and implemented</w:t>
      </w:r>
      <w:r w:rsidR="00020CD8">
        <w:t xml:space="preserve">.  </w:t>
      </w:r>
    </w:p>
    <w:p w:rsidR="00F33837" w:rsidRPr="004747A3" w:rsidRDefault="00020CD8">
      <w:pPr>
        <w:pStyle w:val="Heading1"/>
        <w:ind w:left="-4"/>
      </w:pPr>
      <w:bookmarkStart w:id="1" w:name="_Toc10999"/>
      <w:r w:rsidRPr="004747A3">
        <w:t xml:space="preserve">Authority  </w:t>
      </w:r>
      <w:bookmarkEnd w:id="1"/>
    </w:p>
    <w:p w:rsidR="006666D5" w:rsidRDefault="0062226F" w:rsidP="004747A3">
      <w:pPr>
        <w:spacing w:after="236"/>
      </w:pPr>
      <w:r>
        <w:t xml:space="preserve">The </w:t>
      </w:r>
      <w:r w:rsidR="004747A3">
        <w:t>Washington State Supreme Court Order</w:t>
      </w:r>
      <w:r>
        <w:t xml:space="preserve"> establishing the Washington State Center for Court Research (WSCCR) was amended on </w:t>
      </w:r>
      <w:r w:rsidR="004747A3">
        <w:t>November 6, 2014</w:t>
      </w:r>
      <w:r>
        <w:t xml:space="preserve"> to clarify the purpose of WSCCR and th</w:t>
      </w:r>
      <w:r w:rsidR="00B0597E">
        <w:t>e role of the Advisory Board</w:t>
      </w:r>
      <w:r w:rsidR="00C20600">
        <w:t>,</w:t>
      </w:r>
      <w:r>
        <w:t xml:space="preserve"> and to create a Strategic Oversight Committee to set priorities for research requests</w:t>
      </w:r>
      <w:r w:rsidR="00B0597E">
        <w:t xml:space="preserve"> submitted to WSCCR</w:t>
      </w:r>
      <w:r>
        <w:t>.</w:t>
      </w:r>
      <w:r w:rsidR="00020CD8">
        <w:rPr>
          <w:sz w:val="24"/>
        </w:rPr>
        <w:t xml:space="preserve"> </w:t>
      </w:r>
      <w:r w:rsidR="00020CD8">
        <w:rPr>
          <w:rFonts w:ascii="Courier New" w:eastAsia="Courier New" w:hAnsi="Courier New" w:cs="Courier New"/>
          <w:sz w:val="24"/>
        </w:rPr>
        <w:t xml:space="preserve"> </w:t>
      </w:r>
      <w:bookmarkStart w:id="2" w:name="_Toc11000"/>
    </w:p>
    <w:p w:rsidR="00F33837" w:rsidRDefault="0062226F" w:rsidP="00E11593">
      <w:pPr>
        <w:pStyle w:val="Heading1"/>
        <w:spacing w:after="12" w:line="248" w:lineRule="auto"/>
      </w:pPr>
      <w:bookmarkStart w:id="3" w:name="_Toc11001"/>
      <w:bookmarkEnd w:id="2"/>
      <w:r>
        <w:t>Criteria</w:t>
      </w:r>
      <w:r w:rsidR="00020CD8">
        <w:t xml:space="preserve"> </w:t>
      </w:r>
      <w:bookmarkEnd w:id="3"/>
      <w:r w:rsidR="00020CD8">
        <w:rPr>
          <w:sz w:val="24"/>
        </w:rPr>
        <w:t xml:space="preserve"> </w:t>
      </w:r>
    </w:p>
    <w:p w:rsidR="000249B5" w:rsidRDefault="00020CD8" w:rsidP="00ED707D">
      <w:pPr>
        <w:spacing w:after="0" w:line="259" w:lineRule="auto"/>
      </w:pPr>
      <w:r>
        <w:t xml:space="preserve">It is the policy of the </w:t>
      </w:r>
      <w:r w:rsidR="000249B5">
        <w:t>WSCCR Strategic Oversight Committee (W</w:t>
      </w:r>
      <w:r w:rsidR="00E11593">
        <w:t>SOC</w:t>
      </w:r>
      <w:r w:rsidR="000249B5">
        <w:t xml:space="preserve">) to establish </w:t>
      </w:r>
      <w:r w:rsidR="00C20600">
        <w:t xml:space="preserve">clear guidance </w:t>
      </w:r>
      <w:r w:rsidR="000249B5">
        <w:t xml:space="preserve">for the submission of a request for WSCCR to undertake a research project.  </w:t>
      </w:r>
    </w:p>
    <w:p w:rsidR="00ED707D" w:rsidRDefault="00ED707D" w:rsidP="00ED707D">
      <w:pPr>
        <w:spacing w:after="0" w:line="259" w:lineRule="auto"/>
      </w:pPr>
    </w:p>
    <w:p w:rsidR="000249B5" w:rsidRDefault="00B0597E" w:rsidP="00ED707D">
      <w:pPr>
        <w:spacing w:after="0" w:line="259" w:lineRule="auto"/>
      </w:pPr>
      <w:r>
        <w:t>In considering research requests and determining the priority of projects, t</w:t>
      </w:r>
      <w:r w:rsidR="000249B5">
        <w:t xml:space="preserve">he </w:t>
      </w:r>
      <w:r w:rsidR="00ED707D">
        <w:t>W</w:t>
      </w:r>
      <w:r w:rsidR="000249B5">
        <w:t xml:space="preserve">SOC will consider the </w:t>
      </w:r>
      <w:proofErr w:type="gramStart"/>
      <w:r w:rsidR="000249B5">
        <w:t>following</w:t>
      </w:r>
      <w:proofErr w:type="gramEnd"/>
      <w:r w:rsidR="000249B5">
        <w:t xml:space="preserve"> criteria:</w:t>
      </w:r>
    </w:p>
    <w:p w:rsidR="00ED707D" w:rsidRDefault="00ED707D" w:rsidP="000249B5">
      <w:pPr>
        <w:pStyle w:val="ListParagraph"/>
        <w:spacing w:after="0" w:line="259" w:lineRule="auto"/>
        <w:ind w:left="826" w:firstLine="0"/>
      </w:pPr>
    </w:p>
    <w:p w:rsidR="000249B5" w:rsidRDefault="00B0597E" w:rsidP="000249B5">
      <w:pPr>
        <w:pStyle w:val="ListParagraph"/>
        <w:numPr>
          <w:ilvl w:val="0"/>
          <w:numId w:val="9"/>
        </w:numPr>
        <w:spacing w:after="0" w:line="259" w:lineRule="auto"/>
      </w:pPr>
      <w:r>
        <w:t>Whether t</w:t>
      </w:r>
      <w:r w:rsidR="000249B5">
        <w:t xml:space="preserve">he research request </w:t>
      </w:r>
      <w:r w:rsidR="00161BE4">
        <w:t xml:space="preserve">is </w:t>
      </w:r>
      <w:r w:rsidR="000249B5">
        <w:t>essential to meet a cons</w:t>
      </w:r>
      <w:r w:rsidR="00161BE4">
        <w:t>titutional or statutory mandate.</w:t>
      </w:r>
    </w:p>
    <w:p w:rsidR="000249B5" w:rsidRDefault="00B0597E" w:rsidP="000249B5">
      <w:pPr>
        <w:pStyle w:val="ListParagraph"/>
        <w:numPr>
          <w:ilvl w:val="0"/>
          <w:numId w:val="9"/>
        </w:numPr>
        <w:spacing w:after="0" w:line="259" w:lineRule="auto"/>
      </w:pPr>
      <w:r>
        <w:t>Whether t</w:t>
      </w:r>
      <w:r w:rsidR="000249B5">
        <w:t>he research request</w:t>
      </w:r>
      <w:r w:rsidR="00161BE4">
        <w:t xml:space="preserve"> is</w:t>
      </w:r>
      <w:r w:rsidR="000249B5">
        <w:t xml:space="preserve"> necessary to implement judicial branch policy or impro</w:t>
      </w:r>
      <w:r w:rsidR="00161BE4">
        <w:t>ve court operations or programs.</w:t>
      </w:r>
    </w:p>
    <w:p w:rsidR="000249B5" w:rsidRDefault="000249B5" w:rsidP="000249B5">
      <w:pPr>
        <w:pStyle w:val="ListParagraph"/>
        <w:numPr>
          <w:ilvl w:val="0"/>
          <w:numId w:val="9"/>
        </w:numPr>
        <w:spacing w:after="0" w:line="259" w:lineRule="auto"/>
      </w:pPr>
      <w:r>
        <w:t>The scope of the project, including but not limited to:  funding, timeline, staff</w:t>
      </w:r>
      <w:r w:rsidR="00C20600">
        <w:t>,</w:t>
      </w:r>
      <w:r>
        <w:t xml:space="preserve"> and technology resource demands.</w:t>
      </w:r>
    </w:p>
    <w:p w:rsidR="00ED707D" w:rsidRDefault="00ED707D" w:rsidP="00ED707D">
      <w:pPr>
        <w:spacing w:after="0" w:line="259" w:lineRule="auto"/>
      </w:pPr>
    </w:p>
    <w:p w:rsidR="004747A3" w:rsidRDefault="00B0597E" w:rsidP="00ED707D">
      <w:pPr>
        <w:spacing w:after="0" w:line="259" w:lineRule="auto"/>
      </w:pPr>
      <w:r>
        <w:t xml:space="preserve">The authority to submit research requests is vested in judicial branch associations and entities listed in Appendix A.  The authority to authorize and prioritize projects is vested in the WSOC.  </w:t>
      </w:r>
      <w:r w:rsidR="000249B5">
        <w:t xml:space="preserve">The WSOC </w:t>
      </w:r>
      <w:r>
        <w:t>will establish</w:t>
      </w:r>
      <w:r w:rsidR="000249B5">
        <w:t xml:space="preserve"> </w:t>
      </w:r>
      <w:r w:rsidR="00161BE4">
        <w:t xml:space="preserve">priorities </w:t>
      </w:r>
      <w:r w:rsidR="000249B5">
        <w:t xml:space="preserve">and make decisions relating to the final selection and authorization of research requests, </w:t>
      </w:r>
      <w:r w:rsidR="00ED707D">
        <w:t>initiatives</w:t>
      </w:r>
      <w:r w:rsidR="000249B5">
        <w:t>, and projects</w:t>
      </w:r>
      <w:r w:rsidR="00ED707D">
        <w:t xml:space="preserve">.   </w:t>
      </w:r>
    </w:p>
    <w:p w:rsidR="00ED707D" w:rsidRDefault="00ED707D" w:rsidP="00ED707D"/>
    <w:p w:rsidR="00F33837" w:rsidRDefault="00ED707D" w:rsidP="00ED707D">
      <w:r>
        <w:t xml:space="preserve">The </w:t>
      </w:r>
      <w:r w:rsidR="00161BE4">
        <w:t xml:space="preserve">WSOC </w:t>
      </w:r>
      <w:r>
        <w:t>d</w:t>
      </w:r>
      <w:r w:rsidR="00020CD8" w:rsidRPr="004747A3">
        <w:t>elegate</w:t>
      </w:r>
      <w:r w:rsidR="00161BE4">
        <w:t>s to</w:t>
      </w:r>
      <w:r w:rsidR="00020CD8" w:rsidRPr="004747A3">
        <w:t xml:space="preserve"> the State Court Administrator</w:t>
      </w:r>
      <w:r w:rsidR="00161BE4">
        <w:t>, the Manager of WSCCR,</w:t>
      </w:r>
      <w:r w:rsidR="00020CD8" w:rsidRPr="004747A3">
        <w:t xml:space="preserve"> and the Chair of the WS</w:t>
      </w:r>
      <w:r>
        <w:t>O</w:t>
      </w:r>
      <w:r w:rsidR="00020CD8" w:rsidRPr="004747A3">
        <w:t xml:space="preserve">C </w:t>
      </w:r>
      <w:r w:rsidR="00B0597E">
        <w:t xml:space="preserve">the responsibility </w:t>
      </w:r>
      <w:r w:rsidR="004747A3" w:rsidRPr="004747A3">
        <w:t xml:space="preserve">to </w:t>
      </w:r>
      <w:r w:rsidR="00161BE4">
        <w:t xml:space="preserve">conduct an initial </w:t>
      </w:r>
      <w:r w:rsidR="004747A3" w:rsidRPr="004747A3">
        <w:t>review</w:t>
      </w:r>
      <w:r w:rsidR="00161BE4">
        <w:t xml:space="preserve"> of</w:t>
      </w:r>
      <w:r w:rsidR="004747A3" w:rsidRPr="004747A3">
        <w:t xml:space="preserve"> proposed projects</w:t>
      </w:r>
      <w:r w:rsidR="00161BE4">
        <w:t xml:space="preserve"> to determine</w:t>
      </w:r>
      <w:r w:rsidR="004747A3" w:rsidRPr="004747A3">
        <w:t xml:space="preserve"> whether the</w:t>
      </w:r>
      <w:r w:rsidR="00161BE4">
        <w:t xml:space="preserve"> project</w:t>
      </w:r>
      <w:r w:rsidR="004747A3" w:rsidRPr="004747A3">
        <w:t xml:space="preserve"> meet</w:t>
      </w:r>
      <w:r w:rsidR="00161BE4">
        <w:t>s the c</w:t>
      </w:r>
      <w:r w:rsidR="004747A3" w:rsidRPr="004747A3">
        <w:t>riteria</w:t>
      </w:r>
      <w:r w:rsidR="00B0597E">
        <w:t xml:space="preserve"> and the authority to decide whether WSCCR</w:t>
      </w:r>
      <w:r w:rsidR="004747A3" w:rsidRPr="004747A3">
        <w:t xml:space="preserve"> can </w:t>
      </w:r>
      <w:r w:rsidR="00B0597E">
        <w:t>proceed</w:t>
      </w:r>
      <w:r w:rsidR="004747A3" w:rsidRPr="004747A3">
        <w:t xml:space="preserve"> given the current workload, staff availability</w:t>
      </w:r>
      <w:r w:rsidR="00C20600">
        <w:t>,</w:t>
      </w:r>
      <w:r w:rsidR="004747A3" w:rsidRPr="004747A3">
        <w:t xml:space="preserve"> and skills</w:t>
      </w:r>
      <w:r w:rsidR="00C20600">
        <w:t>,</w:t>
      </w:r>
      <w:r w:rsidR="004747A3" w:rsidRPr="004747A3">
        <w:t xml:space="preserve"> as well as other necessary resources</w:t>
      </w:r>
      <w:r w:rsidR="00C20600">
        <w:t>,</w:t>
      </w:r>
      <w:r w:rsidR="00B0597E">
        <w:t xml:space="preserve"> without the prior approval </w:t>
      </w:r>
      <w:r w:rsidR="00B0597E">
        <w:lastRenderedPageBreak/>
        <w:t xml:space="preserve">of the WSOC.  </w:t>
      </w:r>
      <w:r w:rsidR="00E11593">
        <w:t>The State Court Administrator</w:t>
      </w:r>
      <w:r w:rsidR="00020CD8">
        <w:t xml:space="preserve"> and the </w:t>
      </w:r>
      <w:r w:rsidR="00E11593">
        <w:t>Chair of the WSOC</w:t>
      </w:r>
      <w:r w:rsidR="00711AA6">
        <w:t xml:space="preserve"> </w:t>
      </w:r>
      <w:r w:rsidR="00E11593">
        <w:t xml:space="preserve">shall report </w:t>
      </w:r>
      <w:r w:rsidR="00020CD8">
        <w:t>on all decisions made unde</w:t>
      </w:r>
      <w:r w:rsidR="00920D48">
        <w:t xml:space="preserve">r this delegation </w:t>
      </w:r>
      <w:r w:rsidR="007604C5">
        <w:t xml:space="preserve">at </w:t>
      </w:r>
      <w:r w:rsidR="00020CD8">
        <w:t xml:space="preserve">regularly scheduled </w:t>
      </w:r>
      <w:r w:rsidR="00A214AA">
        <w:t>quarterly</w:t>
      </w:r>
      <w:r w:rsidR="00E11593">
        <w:t xml:space="preserve"> WSOC</w:t>
      </w:r>
      <w:r w:rsidR="00A214AA">
        <w:t xml:space="preserve"> </w:t>
      </w:r>
      <w:r w:rsidR="00020CD8">
        <w:t>meeting</w:t>
      </w:r>
      <w:r w:rsidR="00C20600">
        <w:t>s</w:t>
      </w:r>
      <w:r w:rsidR="00020CD8">
        <w:t xml:space="preserve">. </w:t>
      </w:r>
    </w:p>
    <w:p w:rsidR="00ED707D" w:rsidRDefault="00ED707D" w:rsidP="00ED707D">
      <w:pPr>
        <w:spacing w:after="0" w:line="259" w:lineRule="auto"/>
      </w:pPr>
    </w:p>
    <w:p w:rsidR="00F33837" w:rsidRDefault="00020CD8" w:rsidP="00ED707D">
      <w:pPr>
        <w:spacing w:after="0" w:line="259" w:lineRule="auto"/>
      </w:pPr>
      <w:r>
        <w:t xml:space="preserve">The </w:t>
      </w:r>
      <w:r w:rsidR="007604C5">
        <w:t>WSOC</w:t>
      </w:r>
      <w:r>
        <w:t xml:space="preserve"> shall take action on </w:t>
      </w:r>
      <w:r w:rsidR="00711AA6">
        <w:t xml:space="preserve">research </w:t>
      </w:r>
      <w:r w:rsidR="00A214AA">
        <w:t>requests on a</w:t>
      </w:r>
      <w:r>
        <w:t xml:space="preserve"> </w:t>
      </w:r>
      <w:r w:rsidR="00A214AA">
        <w:t>quarterly</w:t>
      </w:r>
      <w:r>
        <w:t xml:space="preserve"> basis,</w:t>
      </w:r>
      <w:r w:rsidR="00A214AA">
        <w:t xml:space="preserve"> or as needed, with meetings</w:t>
      </w:r>
      <w:r>
        <w:t xml:space="preserve"> scheduled to coincide with the legislative budget cycle</w:t>
      </w:r>
      <w:r w:rsidR="00711AA6">
        <w:t>.</w:t>
      </w:r>
      <w:r>
        <w:t xml:space="preserve"> </w:t>
      </w:r>
      <w:r w:rsidR="00ED707D">
        <w:t xml:space="preserve"> </w:t>
      </w:r>
      <w:r>
        <w:t xml:space="preserve">The </w:t>
      </w:r>
      <w:r w:rsidR="007604C5">
        <w:t>WSOC</w:t>
      </w:r>
      <w:r>
        <w:t xml:space="preserve"> may review </w:t>
      </w:r>
      <w:r w:rsidR="00711AA6">
        <w:t>research</w:t>
      </w:r>
      <w:r>
        <w:t xml:space="preserve"> requests</w:t>
      </w:r>
      <w:r w:rsidR="00C20600">
        <w:t xml:space="preserve"> that are</w:t>
      </w:r>
      <w:r>
        <w:t xml:space="preserve"> of an emergency nature or that are mandated by the Legislature on a more frequent basis. </w:t>
      </w:r>
    </w:p>
    <w:p w:rsidR="00F33837" w:rsidRDefault="00020CD8" w:rsidP="00711AA6">
      <w:pPr>
        <w:spacing w:after="0" w:line="259" w:lineRule="auto"/>
        <w:ind w:left="0" w:firstLine="0"/>
      </w:pPr>
      <w:r>
        <w:t xml:space="preserve"> </w:t>
      </w:r>
    </w:p>
    <w:p w:rsidR="00F33837" w:rsidRDefault="00020CD8">
      <w:pPr>
        <w:pStyle w:val="Heading1"/>
        <w:ind w:left="-4"/>
      </w:pPr>
      <w:bookmarkStart w:id="4" w:name="_Toc11002"/>
      <w:r>
        <w:t xml:space="preserve">Maintenance </w:t>
      </w:r>
      <w:bookmarkEnd w:id="4"/>
    </w:p>
    <w:p w:rsidR="00F33837" w:rsidRDefault="00020CD8">
      <w:r>
        <w:t xml:space="preserve">The </w:t>
      </w:r>
      <w:r w:rsidR="00B0597E">
        <w:t>R</w:t>
      </w:r>
      <w:r w:rsidR="00161BE4">
        <w:t xml:space="preserve">esearch </w:t>
      </w:r>
      <w:r w:rsidR="00B0597E">
        <w:t>P</w:t>
      </w:r>
      <w:r w:rsidR="00161BE4">
        <w:t xml:space="preserve">rioritization </w:t>
      </w:r>
      <w:r w:rsidR="00B0597E">
        <w:t>P</w:t>
      </w:r>
      <w:r w:rsidR="00161BE4">
        <w:t>olicy</w:t>
      </w:r>
      <w:r w:rsidR="00B0597E">
        <w:t xml:space="preserve"> and</w:t>
      </w:r>
      <w:r w:rsidR="00161BE4">
        <w:t xml:space="preserve"> framework</w:t>
      </w:r>
      <w:r>
        <w:t xml:space="preserve"> will operate without changes for one year.  The</w:t>
      </w:r>
      <w:r w:rsidR="00161BE4">
        <w:t>reafter, the</w:t>
      </w:r>
      <w:r>
        <w:t xml:space="preserve"> </w:t>
      </w:r>
      <w:r w:rsidR="007604C5">
        <w:t>WSOC</w:t>
      </w:r>
      <w:r w:rsidR="00711AA6">
        <w:t xml:space="preserve"> will review its Research </w:t>
      </w:r>
      <w:r w:rsidR="00920D48">
        <w:t>Prioritization Policy</w:t>
      </w:r>
      <w:r>
        <w:t xml:space="preserve"> and framework a</w:t>
      </w:r>
      <w:r w:rsidR="00161BE4">
        <w:t>s</w:t>
      </w:r>
      <w:r w:rsidR="00711AA6">
        <w:t xml:space="preserve"> </w:t>
      </w:r>
      <w:r>
        <w:t>appropriate</w:t>
      </w:r>
      <w:r w:rsidR="00711AA6">
        <w:t xml:space="preserve">.  </w:t>
      </w:r>
    </w:p>
    <w:p w:rsidR="00F33837" w:rsidRDefault="00020CD8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:rsidR="00F33837" w:rsidRDefault="00A214AA" w:rsidP="00426A85">
      <w:pPr>
        <w:pStyle w:val="Heading1"/>
        <w:spacing w:after="40"/>
        <w:ind w:left="1" w:firstLine="0"/>
      </w:pPr>
      <w:bookmarkStart w:id="5" w:name="_Toc11004"/>
      <w:r>
        <w:rPr>
          <w:szCs w:val="28"/>
        </w:rPr>
        <w:t>Appendix A</w:t>
      </w:r>
      <w:bookmarkEnd w:id="5"/>
      <w:r w:rsidR="00020CD8">
        <w:rPr>
          <w:b w:val="0"/>
        </w:rPr>
        <w:t xml:space="preserve"> </w:t>
      </w:r>
    </w:p>
    <w:p w:rsidR="00F33837" w:rsidRDefault="00020CD8" w:rsidP="00BC02C3">
      <w:pPr>
        <w:numPr>
          <w:ilvl w:val="0"/>
          <w:numId w:val="6"/>
        </w:numPr>
        <w:ind w:hanging="360"/>
      </w:pPr>
      <w:r>
        <w:t>Superior Court</w:t>
      </w:r>
      <w:r w:rsidR="00A214AA">
        <w:t xml:space="preserve"> Judges Association </w:t>
      </w:r>
      <w:r w:rsidR="001617AD" w:rsidRPr="009D341D">
        <w:t>on behalf of the s</w:t>
      </w:r>
      <w:r w:rsidR="00A214AA" w:rsidRPr="009D341D">
        <w:t xml:space="preserve">uperior </w:t>
      </w:r>
      <w:r w:rsidR="001617AD" w:rsidRPr="009D341D">
        <w:t>c</w:t>
      </w:r>
      <w:r w:rsidR="00A214AA" w:rsidRPr="009D341D">
        <w:t>ourts,</w:t>
      </w:r>
      <w:r w:rsidR="00A214AA" w:rsidRPr="0095739E">
        <w:t xml:space="preserve"> </w:t>
      </w:r>
      <w:r w:rsidR="00BC02C3" w:rsidRPr="0095739E">
        <w:t xml:space="preserve">the Association of Washington Superior Court </w:t>
      </w:r>
      <w:r w:rsidR="00BC02C3" w:rsidRPr="009D341D">
        <w:t>Administrators</w:t>
      </w:r>
      <w:r w:rsidR="00B12278" w:rsidRPr="009D341D">
        <w:t xml:space="preserve"> (AWSCA) and</w:t>
      </w:r>
      <w:r w:rsidR="00BC02C3" w:rsidRPr="009D341D">
        <w:t xml:space="preserve"> </w:t>
      </w:r>
      <w:r w:rsidR="00BC02C3" w:rsidRPr="0095739E">
        <w:t>Washington Association of Juvenile Court Administrators</w:t>
      </w:r>
      <w:r w:rsidR="00710AE7">
        <w:t xml:space="preserve"> </w:t>
      </w:r>
      <w:r w:rsidR="00B12278" w:rsidRPr="009D341D">
        <w:t>(</w:t>
      </w:r>
      <w:r w:rsidR="00A214AA" w:rsidRPr="009D341D">
        <w:t>WAJCA)</w:t>
      </w:r>
      <w:bookmarkStart w:id="6" w:name="_GoBack"/>
      <w:bookmarkEnd w:id="6"/>
      <w:r w:rsidR="005A1DE9" w:rsidRPr="009D341D">
        <w:t>.</w:t>
      </w:r>
      <w:r>
        <w:t xml:space="preserve"> </w:t>
      </w:r>
    </w:p>
    <w:p w:rsidR="00F33837" w:rsidRPr="009D341D" w:rsidRDefault="00A214AA" w:rsidP="00BC02C3">
      <w:pPr>
        <w:numPr>
          <w:ilvl w:val="0"/>
          <w:numId w:val="6"/>
        </w:numPr>
        <w:ind w:hanging="360"/>
      </w:pPr>
      <w:r>
        <w:t xml:space="preserve">District and Municipal Court Judges </w:t>
      </w:r>
      <w:r w:rsidR="001617AD">
        <w:t xml:space="preserve">Association </w:t>
      </w:r>
      <w:r w:rsidR="001617AD" w:rsidRPr="009D341D">
        <w:t>on behalf of c</w:t>
      </w:r>
      <w:r w:rsidR="00020CD8" w:rsidRPr="009D341D">
        <w:t xml:space="preserve">ourts of </w:t>
      </w:r>
      <w:r w:rsidR="001617AD" w:rsidRPr="009D341D">
        <w:t>l</w:t>
      </w:r>
      <w:r w:rsidR="00020CD8" w:rsidRPr="009D341D">
        <w:t xml:space="preserve">imited </w:t>
      </w:r>
      <w:r w:rsidR="001617AD" w:rsidRPr="009D341D">
        <w:t>j</w:t>
      </w:r>
      <w:r w:rsidR="00020CD8" w:rsidRPr="009D341D">
        <w:t>urisdiction</w:t>
      </w:r>
      <w:r w:rsidR="001617AD" w:rsidRPr="009D341D">
        <w:t xml:space="preserve"> and the</w:t>
      </w:r>
      <w:r w:rsidR="001617AD" w:rsidRPr="0095739E">
        <w:t xml:space="preserve"> District and Municipal </w:t>
      </w:r>
      <w:r w:rsidR="001617AD" w:rsidRPr="009D341D">
        <w:t>Courts</w:t>
      </w:r>
      <w:r w:rsidR="001617AD" w:rsidRPr="0095739E">
        <w:rPr>
          <w:u w:val="single"/>
        </w:rPr>
        <w:t xml:space="preserve"> </w:t>
      </w:r>
      <w:r w:rsidR="00671AC2" w:rsidRPr="0095739E">
        <w:t xml:space="preserve">Management </w:t>
      </w:r>
      <w:r w:rsidR="00671AC2" w:rsidRPr="009D341D">
        <w:t>Association (</w:t>
      </w:r>
      <w:r w:rsidRPr="009D341D">
        <w:t>DMCMA)</w:t>
      </w:r>
      <w:r w:rsidR="005A1DE9" w:rsidRPr="009D341D">
        <w:t>.</w:t>
      </w:r>
    </w:p>
    <w:p w:rsidR="00426A85" w:rsidRDefault="00426A85">
      <w:pPr>
        <w:numPr>
          <w:ilvl w:val="0"/>
          <w:numId w:val="6"/>
        </w:numPr>
        <w:ind w:hanging="360"/>
      </w:pPr>
      <w:r>
        <w:t>Board for Judicial Administration</w:t>
      </w:r>
      <w:r w:rsidR="005A1DE9">
        <w:t>.</w:t>
      </w:r>
    </w:p>
    <w:p w:rsidR="00426A85" w:rsidRDefault="00426A85">
      <w:pPr>
        <w:numPr>
          <w:ilvl w:val="0"/>
          <w:numId w:val="6"/>
        </w:numPr>
        <w:ind w:hanging="360"/>
      </w:pPr>
      <w:r>
        <w:t>Washington State Legislature</w:t>
      </w:r>
      <w:r w:rsidR="005A1DE9">
        <w:t>.</w:t>
      </w:r>
    </w:p>
    <w:p w:rsidR="00F33837" w:rsidRPr="009D341D" w:rsidRDefault="00426A85">
      <w:pPr>
        <w:numPr>
          <w:ilvl w:val="0"/>
          <w:numId w:val="6"/>
        </w:numPr>
        <w:ind w:hanging="360"/>
      </w:pPr>
      <w:r>
        <w:t>The Administrative Office of the Courts</w:t>
      </w:r>
      <w:r w:rsidR="00BC02C3">
        <w:t xml:space="preserve"> (AOC)</w:t>
      </w:r>
      <w:r w:rsidR="00A214AA">
        <w:t xml:space="preserve"> (for AOC and the Supreme Court Commissions, as well as research group partnerships</w:t>
      </w:r>
      <w:r w:rsidR="00A214AA" w:rsidRPr="009D341D">
        <w:t>)</w:t>
      </w:r>
      <w:r w:rsidR="005A1DE9" w:rsidRPr="009D341D">
        <w:t>.</w:t>
      </w:r>
    </w:p>
    <w:p w:rsidR="00A214AA" w:rsidRDefault="00A214AA">
      <w:pPr>
        <w:numPr>
          <w:ilvl w:val="0"/>
          <w:numId w:val="6"/>
        </w:numPr>
        <w:ind w:hanging="360"/>
      </w:pPr>
      <w:r>
        <w:t>Office of Public Defense</w:t>
      </w:r>
      <w:r w:rsidR="005A1DE9">
        <w:t>.</w:t>
      </w:r>
    </w:p>
    <w:p w:rsidR="00A214AA" w:rsidRDefault="00A214AA">
      <w:pPr>
        <w:numPr>
          <w:ilvl w:val="0"/>
          <w:numId w:val="6"/>
        </w:numPr>
        <w:ind w:hanging="360"/>
      </w:pPr>
      <w:r>
        <w:t>Office of Civil Legal Aid</w:t>
      </w:r>
      <w:r w:rsidR="005A1DE9">
        <w:t>.</w:t>
      </w:r>
    </w:p>
    <w:p w:rsidR="00A214AA" w:rsidRDefault="00A214AA">
      <w:pPr>
        <w:numPr>
          <w:ilvl w:val="0"/>
          <w:numId w:val="6"/>
        </w:numPr>
        <w:ind w:hanging="360"/>
      </w:pPr>
      <w:r>
        <w:t>Appellate Court Executive Committee</w:t>
      </w:r>
      <w:r w:rsidR="005A1DE9">
        <w:t>.</w:t>
      </w:r>
    </w:p>
    <w:p w:rsidR="00A214AA" w:rsidRDefault="00A214AA" w:rsidP="00A214AA">
      <w:pPr>
        <w:ind w:left="541" w:firstLine="0"/>
      </w:pPr>
    </w:p>
    <w:p w:rsidR="00FA134F" w:rsidRDefault="00FA134F">
      <w:pPr>
        <w:pStyle w:val="Heading1"/>
        <w:ind w:left="-4"/>
      </w:pPr>
      <w:bookmarkStart w:id="7" w:name="_Toc11005"/>
    </w:p>
    <w:bookmarkEnd w:id="7"/>
    <w:p w:rsidR="00F33837" w:rsidRDefault="00F33837">
      <w:pPr>
        <w:spacing w:after="0" w:line="259" w:lineRule="auto"/>
        <w:ind w:left="1" w:firstLine="0"/>
      </w:pPr>
    </w:p>
    <w:sectPr w:rsidR="00F33837" w:rsidSect="00FA134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2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EC" w:rsidRDefault="003C09EC">
      <w:pPr>
        <w:spacing w:after="0" w:line="240" w:lineRule="auto"/>
      </w:pPr>
      <w:r>
        <w:separator/>
      </w:r>
    </w:p>
  </w:endnote>
  <w:endnote w:type="continuationSeparator" w:id="0">
    <w:p w:rsidR="003C09EC" w:rsidRDefault="003C09EC">
      <w:pPr>
        <w:spacing w:after="0" w:line="240" w:lineRule="auto"/>
      </w:pPr>
      <w:r>
        <w:continuationSeparator/>
      </w:r>
    </w:p>
  </w:endnote>
  <w:endnote w:type="continuationNotice" w:id="1">
    <w:p w:rsidR="003C09EC" w:rsidRDefault="003C0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8" w:rsidRDefault="00020CD8">
    <w:pPr>
      <w:tabs>
        <w:tab w:val="center" w:pos="4320"/>
        <w:tab w:val="center" w:pos="9361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04277C" wp14:editId="526BC378">
              <wp:simplePos x="0" y="0"/>
              <wp:positionH relativeFrom="page">
                <wp:posOffset>896112</wp:posOffset>
              </wp:positionH>
              <wp:positionV relativeFrom="page">
                <wp:posOffset>9290304</wp:posOffset>
              </wp:positionV>
              <wp:extent cx="5980176" cy="6096"/>
              <wp:effectExtent l="0" t="0" r="0" b="0"/>
              <wp:wrapSquare wrapText="bothSides"/>
              <wp:docPr id="10847" name="Group 10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096"/>
                        <a:chOff x="0" y="0"/>
                        <a:chExt cx="5980176" cy="6096"/>
                      </a:xfrm>
                    </wpg:grpSpPr>
                    <wps:wsp>
                      <wps:cNvPr id="11426" name="Shape 11426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E4A964" id="Group 10847" o:spid="_x0000_s1026" style="position:absolute;margin-left:70.55pt;margin-top:731.5pt;width:470.9pt;height:.5pt;z-index:251661312;mso-position-horizontal-relative:page;mso-position-vertical-relative:pag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">
              <v:shape id="Shape 11426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A+sQA&#10;AADeAAAADwAAAGRycy9kb3ducmV2LnhtbERP32vCMBB+F/Y/hBv4NlOl6uiMIoIwGciswl6P5NZ2&#10;ay6lydrOv94MBr7dx/fzVpvB1qKj1leOFUwnCQhi7UzFhYLLef/0DMIHZIO1Y1LwSx4264fRCjPj&#10;ej5Rl4dCxBD2GSooQ2gyKb0uyaKfuIY4cp+utRgibAtpWuxjuK3lLEkW0mLFsaHEhnYl6e/8xyo4&#10;pPrLpv68PO70G1/nXZ9/mHelxo/D9gVEoCHcxf/uVxPnT9PZAv7eiT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gPrEAAAA3gAAAA8AAAAAAAAAAAAAAAAAmAIAAGRycy9k&#10;b3ducmV2LnhtbFBLBQYAAAAABAAEAPUAAACJAwAAAAA=&#10;" path="m,l5980176,r,9144l,9144,,e" fillcolor="black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color w:val="818181"/>
        <w:sz w:val="20"/>
      </w:rPr>
      <w:t xml:space="preserve">JIS IT Governance Policy </w:t>
    </w:r>
    <w:r>
      <w:rPr>
        <w:color w:val="818181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172C" w:rsidRPr="006A172C">
      <w:rPr>
        <w:noProof/>
        <w:color w:val="818181"/>
        <w:sz w:val="20"/>
      </w:rPr>
      <w:t>2</w:t>
    </w:r>
    <w:r>
      <w:rPr>
        <w:color w:val="818181"/>
        <w:sz w:val="20"/>
      </w:rPr>
      <w:fldChar w:fldCharType="end"/>
    </w:r>
    <w:r>
      <w:rPr>
        <w:color w:val="818181"/>
        <w:sz w:val="20"/>
      </w:rPr>
      <w:t xml:space="preserve"> </w:t>
    </w:r>
    <w:r>
      <w:rPr>
        <w:color w:val="818181"/>
        <w:sz w:val="20"/>
      </w:rPr>
      <w:tab/>
      <w:t xml:space="preserve"> </w:t>
    </w:r>
  </w:p>
  <w:p w:rsidR="00020CD8" w:rsidRDefault="00020CD8">
    <w:pPr>
      <w:spacing w:after="0" w:line="259" w:lineRule="auto"/>
      <w:ind w:left="1" w:firstLine="0"/>
    </w:pPr>
    <w:r>
      <w:rPr>
        <w:color w:val="818181"/>
        <w:sz w:val="20"/>
      </w:rPr>
      <w:t>10.100</w:t>
    </w:r>
    <w:r>
      <w:rPr>
        <w:color w:val="818181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600" w:rsidRDefault="00C20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CD8" w:rsidRPr="002C0009" w:rsidRDefault="00020CD8" w:rsidP="002C0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8" w:rsidRDefault="00020CD8">
    <w:pPr>
      <w:tabs>
        <w:tab w:val="center" w:pos="4320"/>
        <w:tab w:val="center" w:pos="9361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984959" wp14:editId="1042D039">
              <wp:simplePos x="0" y="0"/>
              <wp:positionH relativeFrom="page">
                <wp:posOffset>896112</wp:posOffset>
              </wp:positionH>
              <wp:positionV relativeFrom="page">
                <wp:posOffset>9290304</wp:posOffset>
              </wp:positionV>
              <wp:extent cx="5980176" cy="6096"/>
              <wp:effectExtent l="0" t="0" r="0" b="0"/>
              <wp:wrapSquare wrapText="bothSides"/>
              <wp:docPr id="10777" name="Group 10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096"/>
                        <a:chOff x="0" y="0"/>
                        <a:chExt cx="5980176" cy="6096"/>
                      </a:xfrm>
                    </wpg:grpSpPr>
                    <wps:wsp>
                      <wps:cNvPr id="11424" name="Shape 11424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33D842" id="Group 10777" o:spid="_x0000_s1026" style="position:absolute;margin-left:70.55pt;margin-top:731.5pt;width:470.9pt;height:.5pt;z-index:251663360;mso-position-horizontal-relative:page;mso-position-vertical-relative:pag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">
              <v:shape id="Shape 11424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7FsQA&#10;AADeAAAADwAAAGRycy9kb3ducmV2LnhtbERP32vCMBB+H/g/hBN8m6nSbVKNIoLgGIytCr4eydlW&#10;m0tpYtvtr18Gg73dx/fzVpvB1qKj1leOFcymCQhi7UzFhYLTcf+4AOEDssHaMSn4Ig+b9ehhhZlx&#10;PX9Sl4dCxBD2GSooQ2gyKb0uyaKfuoY4chfXWgwRtoU0LfYx3NZyniTP0mLFsaHEhnYl6Vt+twpe&#10;U321qT++vO/0G38/dX1+Nh9KTcbDdgki0BD+xX/ug4nzZ+k8hd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uxbEAAAA3gAAAA8AAAAAAAAAAAAAAAAAmAIAAGRycy9k&#10;b3ducmV2LnhtbFBLBQYAAAAABAAEAPUAAACJAwAAAAA=&#10;" path="m,l5980176,r,9144l,9144,,e" fillcolor="black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color w:val="818181"/>
        <w:sz w:val="20"/>
      </w:rPr>
      <w:t xml:space="preserve">JIS IT Governance Policy </w:t>
    </w:r>
    <w:r>
      <w:rPr>
        <w:color w:val="818181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172C" w:rsidRPr="006A172C">
      <w:rPr>
        <w:noProof/>
        <w:color w:val="818181"/>
        <w:sz w:val="20"/>
      </w:rPr>
      <w:t>2</w:t>
    </w:r>
    <w:r>
      <w:rPr>
        <w:color w:val="818181"/>
        <w:sz w:val="20"/>
      </w:rPr>
      <w:fldChar w:fldCharType="end"/>
    </w:r>
    <w:r>
      <w:rPr>
        <w:color w:val="818181"/>
        <w:sz w:val="20"/>
      </w:rPr>
      <w:t xml:space="preserve"> </w:t>
    </w:r>
    <w:r>
      <w:rPr>
        <w:color w:val="818181"/>
        <w:sz w:val="20"/>
      </w:rPr>
      <w:tab/>
      <w:t xml:space="preserve"> </w:t>
    </w:r>
  </w:p>
  <w:p w:rsidR="00020CD8" w:rsidRDefault="00020CD8">
    <w:pPr>
      <w:spacing w:after="0" w:line="259" w:lineRule="auto"/>
      <w:ind w:left="1" w:firstLine="0"/>
    </w:pPr>
    <w:r>
      <w:rPr>
        <w:color w:val="818181"/>
        <w:sz w:val="20"/>
      </w:rPr>
      <w:t>10.100</w:t>
    </w:r>
    <w:r>
      <w:rPr>
        <w:color w:val="81818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EC" w:rsidRDefault="003C09EC">
      <w:pPr>
        <w:spacing w:after="0" w:line="240" w:lineRule="auto"/>
      </w:pPr>
      <w:r>
        <w:separator/>
      </w:r>
    </w:p>
  </w:footnote>
  <w:footnote w:type="continuationSeparator" w:id="0">
    <w:p w:rsidR="003C09EC" w:rsidRDefault="003C09EC">
      <w:pPr>
        <w:spacing w:after="0" w:line="240" w:lineRule="auto"/>
      </w:pPr>
      <w:r>
        <w:continuationSeparator/>
      </w:r>
    </w:p>
  </w:footnote>
  <w:footnote w:type="continuationNotice" w:id="1">
    <w:p w:rsidR="003C09EC" w:rsidRDefault="003C0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8" w:rsidRDefault="00020CD8">
    <w:pPr>
      <w:tabs>
        <w:tab w:val="center" w:pos="4321"/>
        <w:tab w:val="center" w:pos="6555"/>
        <w:tab w:val="center" w:pos="803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FA39A8" wp14:editId="6882ABC2">
              <wp:simplePos x="0" y="0"/>
              <wp:positionH relativeFrom="page">
                <wp:posOffset>896112</wp:posOffset>
              </wp:positionH>
              <wp:positionV relativeFrom="page">
                <wp:posOffset>704088</wp:posOffset>
              </wp:positionV>
              <wp:extent cx="5980176" cy="6096"/>
              <wp:effectExtent l="0" t="0" r="0" b="0"/>
              <wp:wrapSquare wrapText="bothSides"/>
              <wp:docPr id="10830" name="Group 10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096"/>
                        <a:chOff x="0" y="0"/>
                        <a:chExt cx="5980176" cy="6096"/>
                      </a:xfrm>
                    </wpg:grpSpPr>
                    <wps:wsp>
                      <wps:cNvPr id="11423" name="Shape 11423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697653" id="Group 10830" o:spid="_x0000_s1026" style="position:absolute;margin-left:70.55pt;margin-top:55.45pt;width:470.9pt;height:.5pt;z-index:251658240;mso-position-horizontal-relative:page;mso-position-vertical-relative:pag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">
              <v:shape id="Shape 11423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jYsUA&#10;AADeAAAADwAAAGRycy9kb3ducmV2LnhtbERP22rCQBB9F/oPyxT6phtteiF1FRGEFkFsLPR12J0m&#10;0exsyG6T1K93C4JvczjXmS8HW4uOWl85VjCdJCCItTMVFwq+DpvxKwgfkA3WjknBH3lYLu5Gc8yM&#10;6/mTujwUIoawz1BBGUKTSel1SRb9xDXEkftxrcUQYVtI02Ifw20tZ0nyLC1WHBtKbGhdkj7lv1bB&#10;R6qPNvWHl91ab/n81PX5t9kr9XA/rN5ABBrCTXx1v5s4f5rOHuH/nXiD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SNixQAAAN4AAAAPAAAAAAAAAAAAAAAAAJgCAABkcnMv&#10;ZG93bnJldi54bWxQSwUGAAAAAAQABAD1AAAAigMAAAAA&#10;" path="m,l5980176,r,9144l,9144,,e" fillcolor="black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JIS Information Technology Governance Policy </w:t>
    </w:r>
    <w:r>
      <w:rPr>
        <w:b/>
        <w:sz w:val="16"/>
      </w:rPr>
      <w:tab/>
      <w:t xml:space="preserve"> </w:t>
    </w:r>
    <w:r>
      <w:rPr>
        <w:b/>
        <w:sz w:val="16"/>
      </w:rPr>
      <w:tab/>
      <w:t xml:space="preserve"> </w:t>
    </w:r>
    <w:r>
      <w:rPr>
        <w:b/>
        <w:sz w:val="16"/>
      </w:rPr>
      <w:tab/>
      <w:t xml:space="preserve">Amended 3/4/11 </w:t>
    </w:r>
  </w:p>
  <w:p w:rsidR="00020CD8" w:rsidRDefault="00020CD8">
    <w:pPr>
      <w:spacing w:after="0" w:line="259" w:lineRule="auto"/>
      <w:ind w:left="1" w:firstLine="0"/>
    </w:pPr>
    <w:r>
      <w:rPr>
        <w:color w:val="818181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8" w:rsidRDefault="00020CD8">
    <w:pPr>
      <w:tabs>
        <w:tab w:val="center" w:pos="4321"/>
        <w:tab w:val="center" w:pos="6555"/>
        <w:tab w:val="center" w:pos="803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36C384" wp14:editId="4EF7482A">
              <wp:simplePos x="0" y="0"/>
              <wp:positionH relativeFrom="page">
                <wp:posOffset>896112</wp:posOffset>
              </wp:positionH>
              <wp:positionV relativeFrom="page">
                <wp:posOffset>704088</wp:posOffset>
              </wp:positionV>
              <wp:extent cx="5980176" cy="6096"/>
              <wp:effectExtent l="0" t="0" r="0" b="0"/>
              <wp:wrapSquare wrapText="bothSides"/>
              <wp:docPr id="10760" name="Group 10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096"/>
                        <a:chOff x="0" y="0"/>
                        <a:chExt cx="5980176" cy="6096"/>
                      </a:xfrm>
                    </wpg:grpSpPr>
                    <wps:wsp>
                      <wps:cNvPr id="11421" name="Shape 11421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A99F18" id="Group 10760" o:spid="_x0000_s1026" style="position:absolute;margin-left:70.55pt;margin-top:55.45pt;width:470.9pt;height:.5pt;z-index:251660288;mso-position-horizontal-relative:page;mso-position-vertical-relative:pag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">
              <v:shape id="Shape 11421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YjsUA&#10;AADeAAAADwAAAGRycy9kb3ducmV2LnhtbERP32vCMBB+H/g/hBN8m2mlm9IZRYSBYzBmFfZ6JLe2&#10;s7mUJms7/3ozGOztPr6ft96OthE9db52rCCdJyCItTM1lwrOp+f7FQgfkA02jknBD3nYbiZ3a8yN&#10;G/hIfRFKEUPY56igCqHNpfS6Iot+7lriyH26zmKIsCul6XCI4baRiyR5lBZrjg0VtrSvSF+Kb6vg&#10;JdNfNvOn5dtev/L1oR+KD/Ou1Gw67p5ABBrDv/jPfTBxfpotUvh9J94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xiOxQAAAN4AAAAPAAAAAAAAAAAAAAAAAJgCAABkcnMv&#10;ZG93bnJldi54bWxQSwUGAAAAAAQABAD1AAAAigMAAAAA&#10;" path="m,l5980176,r,9144l,9144,,e" fillcolor="black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JIS Information Technology Governance Policy </w:t>
    </w:r>
    <w:r>
      <w:rPr>
        <w:b/>
        <w:sz w:val="16"/>
      </w:rPr>
      <w:tab/>
      <w:t xml:space="preserve"> </w:t>
    </w:r>
    <w:r>
      <w:rPr>
        <w:b/>
        <w:sz w:val="16"/>
      </w:rPr>
      <w:tab/>
      <w:t xml:space="preserve"> </w:t>
    </w:r>
    <w:r>
      <w:rPr>
        <w:b/>
        <w:sz w:val="16"/>
      </w:rPr>
      <w:tab/>
      <w:t xml:space="preserve">Amended 3/4/11 </w:t>
    </w:r>
  </w:p>
  <w:p w:rsidR="00020CD8" w:rsidRDefault="00020CD8">
    <w:pPr>
      <w:spacing w:after="0" w:line="259" w:lineRule="auto"/>
      <w:ind w:left="1" w:firstLine="0"/>
    </w:pPr>
    <w:r>
      <w:rPr>
        <w:color w:val="818181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4C2"/>
    <w:multiLevelType w:val="multilevel"/>
    <w:tmpl w:val="4D0C1FBC"/>
    <w:lvl w:ilvl="0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825DC"/>
    <w:multiLevelType w:val="hybridMultilevel"/>
    <w:tmpl w:val="23689DF8"/>
    <w:lvl w:ilvl="0" w:tplc="0409000F">
      <w:start w:val="1"/>
      <w:numFmt w:val="decimal"/>
      <w:lvlText w:val="%1."/>
      <w:lvlJc w:val="left"/>
      <w:pPr>
        <w:ind w:left="36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84FF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F1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4EB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8E01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AF8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2ED5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8D5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AC96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53C45"/>
    <w:multiLevelType w:val="hybridMultilevel"/>
    <w:tmpl w:val="E67CE904"/>
    <w:lvl w:ilvl="0" w:tplc="F82088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2560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8AF8A">
      <w:start w:val="1"/>
      <w:numFmt w:val="bullet"/>
      <w:lvlRestart w:val="0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C7AB0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226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4972C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483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AE104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63C56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56A10"/>
    <w:multiLevelType w:val="hybridMultilevel"/>
    <w:tmpl w:val="7A7C76D8"/>
    <w:lvl w:ilvl="0" w:tplc="C692873E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18C">
      <w:start w:val="1"/>
      <w:numFmt w:val="lowerLetter"/>
      <w:lvlText w:val="%2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87C32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E920C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E29C4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668E6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3478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C8214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81498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82888"/>
    <w:multiLevelType w:val="hybridMultilevel"/>
    <w:tmpl w:val="6114DA3C"/>
    <w:lvl w:ilvl="0" w:tplc="E5F0D156">
      <w:start w:val="1"/>
      <w:numFmt w:val="decimal"/>
      <w:lvlText w:val="%1.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214F2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09CF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8E94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4057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A853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AA0E4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ACD22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0549A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C7554"/>
    <w:multiLevelType w:val="hybridMultilevel"/>
    <w:tmpl w:val="DD92B612"/>
    <w:lvl w:ilvl="0" w:tplc="48BCCF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DFD8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2F2BE">
      <w:start w:val="1"/>
      <w:numFmt w:val="lowerLetter"/>
      <w:lvlRestart w:val="0"/>
      <w:lvlText w:val="%3)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4A31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A0BE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C5A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2540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C548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CDF2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DC05CE"/>
    <w:multiLevelType w:val="hybridMultilevel"/>
    <w:tmpl w:val="80D03F20"/>
    <w:lvl w:ilvl="0" w:tplc="3572D68C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D1567792">
      <w:start w:val="1"/>
      <w:numFmt w:val="lowerLetter"/>
      <w:lvlText w:val="%3."/>
      <w:lvlJc w:val="right"/>
      <w:pPr>
        <w:ind w:left="2266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74C570B"/>
    <w:multiLevelType w:val="hybridMultilevel"/>
    <w:tmpl w:val="21400094"/>
    <w:lvl w:ilvl="0" w:tplc="A6AE08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27F7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407BA">
      <w:start w:val="1"/>
      <w:numFmt w:val="bullet"/>
      <w:lvlRestart w:val="0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84B3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4FE7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2AB1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4181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8650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E59C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8D6089"/>
    <w:multiLevelType w:val="hybridMultilevel"/>
    <w:tmpl w:val="06787C72"/>
    <w:lvl w:ilvl="0" w:tplc="87F0AC5E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7"/>
    <w:rsid w:val="00020CD8"/>
    <w:rsid w:val="000249B5"/>
    <w:rsid w:val="000F2C95"/>
    <w:rsid w:val="00103FA9"/>
    <w:rsid w:val="00127B60"/>
    <w:rsid w:val="001617AD"/>
    <w:rsid w:val="00161BE4"/>
    <w:rsid w:val="00181548"/>
    <w:rsid w:val="00230E53"/>
    <w:rsid w:val="002C0009"/>
    <w:rsid w:val="002D7ACE"/>
    <w:rsid w:val="00392CD9"/>
    <w:rsid w:val="003C09EC"/>
    <w:rsid w:val="003C3230"/>
    <w:rsid w:val="00426A85"/>
    <w:rsid w:val="004747A3"/>
    <w:rsid w:val="004C127D"/>
    <w:rsid w:val="005A1DE9"/>
    <w:rsid w:val="0062226F"/>
    <w:rsid w:val="006403B4"/>
    <w:rsid w:val="006666D5"/>
    <w:rsid w:val="00671AC2"/>
    <w:rsid w:val="006755DE"/>
    <w:rsid w:val="006774D8"/>
    <w:rsid w:val="006A172C"/>
    <w:rsid w:val="00710AE7"/>
    <w:rsid w:val="00711AA6"/>
    <w:rsid w:val="007604C5"/>
    <w:rsid w:val="008D1981"/>
    <w:rsid w:val="00920D48"/>
    <w:rsid w:val="00930161"/>
    <w:rsid w:val="0095739E"/>
    <w:rsid w:val="009D341D"/>
    <w:rsid w:val="009E07FB"/>
    <w:rsid w:val="00A214AA"/>
    <w:rsid w:val="00A65F00"/>
    <w:rsid w:val="00B0597E"/>
    <w:rsid w:val="00B12278"/>
    <w:rsid w:val="00BA5DE7"/>
    <w:rsid w:val="00BC02C3"/>
    <w:rsid w:val="00BC1578"/>
    <w:rsid w:val="00BC717B"/>
    <w:rsid w:val="00C06B58"/>
    <w:rsid w:val="00C20600"/>
    <w:rsid w:val="00C85E71"/>
    <w:rsid w:val="00D23C41"/>
    <w:rsid w:val="00D55CFC"/>
    <w:rsid w:val="00D911BE"/>
    <w:rsid w:val="00DC240B"/>
    <w:rsid w:val="00E11593"/>
    <w:rsid w:val="00E50C99"/>
    <w:rsid w:val="00ED707D"/>
    <w:rsid w:val="00F24D5D"/>
    <w:rsid w:val="00F33837"/>
    <w:rsid w:val="00F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38F25-5454-458B-A1F6-CFDEC7A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TOC1">
    <w:name w:val="toc 1"/>
    <w:hidden/>
    <w:pPr>
      <w:spacing w:after="0" w:line="216" w:lineRule="auto"/>
      <w:ind w:left="26" w:right="15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0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09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4D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D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D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4B83-929A-49E4-961F-E8FCEA4F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Investment Policy</vt:lpstr>
    </vt:vector>
  </TitlesOfParts>
  <Company>Admin for the Courts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Investment Policy</dc:title>
  <dc:subject/>
  <dc:creator>Trina Knight</dc:creator>
  <cp:keywords/>
  <cp:lastModifiedBy>Ballou, Stephanie</cp:lastModifiedBy>
  <cp:revision>4</cp:revision>
  <cp:lastPrinted>2015-06-24T17:31:00Z</cp:lastPrinted>
  <dcterms:created xsi:type="dcterms:W3CDTF">2018-04-09T23:02:00Z</dcterms:created>
  <dcterms:modified xsi:type="dcterms:W3CDTF">2018-07-18T21:50:00Z</dcterms:modified>
</cp:coreProperties>
</file>